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8C" w:rsidRPr="00FF7B8E" w:rsidRDefault="00D443DD">
      <w:pPr>
        <w:rPr>
          <w:b/>
          <w:sz w:val="28"/>
          <w:szCs w:val="28"/>
        </w:rPr>
      </w:pPr>
      <w:bookmarkStart w:id="0" w:name="_GoBack"/>
      <w:r w:rsidRPr="00D443DD">
        <w:rPr>
          <w:b/>
          <w:sz w:val="28"/>
          <w:szCs w:val="28"/>
        </w:rPr>
        <w:t xml:space="preserve">Betydningen af </w:t>
      </w:r>
      <w:r w:rsidRPr="00D443DD">
        <w:rPr>
          <w:b/>
          <w:bCs/>
          <w:sz w:val="28"/>
          <w:szCs w:val="28"/>
        </w:rPr>
        <w:t>ernæringsstatus og funktionsevne for genindlæggelser blandt ældre</w:t>
      </w:r>
      <w:r w:rsidRPr="00D443DD">
        <w:rPr>
          <w:b/>
          <w:sz w:val="28"/>
          <w:szCs w:val="28"/>
        </w:rPr>
        <w:t xml:space="preserve"> </w:t>
      </w:r>
    </w:p>
    <w:bookmarkEnd w:id="0"/>
    <w:p w:rsidR="002110C2" w:rsidRPr="00CD2DC7" w:rsidRDefault="002110C2" w:rsidP="002110C2">
      <w:r w:rsidRPr="002110C2">
        <w:rPr>
          <w:b/>
        </w:rPr>
        <w:t>Baggrund</w:t>
      </w:r>
      <w:r w:rsidR="00CB4BF8">
        <w:rPr>
          <w:b/>
        </w:rPr>
        <w:t xml:space="preserve">: </w:t>
      </w:r>
      <w:r w:rsidR="00CD2DC7" w:rsidRPr="00CD2DC7">
        <w:t>Andelen af</w:t>
      </w:r>
      <w:r w:rsidR="00CD2DC7">
        <w:rPr>
          <w:b/>
        </w:rPr>
        <w:t xml:space="preserve"> </w:t>
      </w:r>
      <w:r w:rsidR="00CD2DC7" w:rsidRPr="00CD2DC7">
        <w:t>genindlæggelser</w:t>
      </w:r>
      <w:r w:rsidR="00CD2DC7">
        <w:t xml:space="preserve"> blandt ældre over 67 år varierer </w:t>
      </w:r>
      <w:r w:rsidR="00707A10">
        <w:t xml:space="preserve">på landsplan i Danmark </w:t>
      </w:r>
      <w:r w:rsidR="00CD2DC7">
        <w:t>mellem 7,4-28,0% afhængig af diagnose</w:t>
      </w:r>
      <w:r w:rsidR="001C2234">
        <w:fldChar w:fldCharType="begin"/>
      </w:r>
      <w:r w:rsidR="00671F4C">
        <w:instrText xml:space="preserve"> ADDIN ZOTERO_ITEM CSL_CITATION {"citationID":"AsULfq6U","properties":{"formattedCitation":"(1)","plainCitation":"(1)","noteIndex":0},"citationItems":[{"id":370,"uris":["http://zotero.org/groups/2380342/items/9CSERUMW"],"uri":["http://zotero.org/groups/2380342/items/9CSERUMW"],"itemData":{"id":370,"type":"article","title":"Table AED20A","URL":"https://www.statbank.dk/AED20A","author":[{"family":"Statistics Denmark","given":""}],"issued":{"date-parts":[["2019",11,28]]},"accessed":{"date-parts":[["2019",11,28]]}}}],"schema":"https://github.com/citation-style-language/schema/raw/master/csl-citation.json"} </w:instrText>
      </w:r>
      <w:r w:rsidR="001C2234">
        <w:fldChar w:fldCharType="separate"/>
      </w:r>
      <w:r w:rsidR="001C2234" w:rsidRPr="001C2234">
        <w:rPr>
          <w:rFonts w:ascii="Calibri" w:hAnsi="Calibri" w:cs="Calibri"/>
        </w:rPr>
        <w:t>(1)</w:t>
      </w:r>
      <w:r w:rsidR="001C2234">
        <w:fldChar w:fldCharType="end"/>
      </w:r>
      <w:r w:rsidR="0060275A">
        <w:t xml:space="preserve"> og lægger et pres på </w:t>
      </w:r>
      <w:r w:rsidR="00671F4C">
        <w:t>både patienten, organisationen og økonomien på sundhedsområdet</w:t>
      </w:r>
      <w:r w:rsidR="00671F4C">
        <w:fldChar w:fldCharType="begin"/>
      </w:r>
      <w:r w:rsidR="00EF270F">
        <w:instrText xml:space="preserve"> ADDIN ZOTERO_ITEM CSL_CITATION {"citationID":"kjr7321o","properties":{"formattedCitation":"(2)","plainCitation":"(2)","noteIndex":0},"citationItems":[{"id":372,"uris":["http://zotero.org/groups/2380342/items/J83B56EV"],"uri":["http://zotero.org/groups/2380342/items/J83B56EV"],"itemData":{"id":372,"type":"report","title":"Genindlæggelser af ældre i Danmark 2008 - Nye tal fra Sundhedsstyrelsen.","publisher-place":"København","event-place":"København","URL":"http://www.sst.dk/mtv","author":[{"family":"Sundhedstyrelsen, Monitorering &amp; Medicinsk Teknologivurdering","given":""}],"issued":{"date-parts":[["2009",6]]},"accessed":{"date-parts":[["2019",11,28]]}}}],"schema":"https://github.com/citation-style-language/schema/raw/master/csl-citation.json"} </w:instrText>
      </w:r>
      <w:r w:rsidR="00671F4C">
        <w:fldChar w:fldCharType="separate"/>
      </w:r>
      <w:r w:rsidR="00671F4C" w:rsidRPr="00671F4C">
        <w:rPr>
          <w:rFonts w:ascii="Calibri" w:hAnsi="Calibri" w:cs="Calibri"/>
        </w:rPr>
        <w:t>(2)</w:t>
      </w:r>
      <w:r w:rsidR="00671F4C">
        <w:fldChar w:fldCharType="end"/>
      </w:r>
      <w:r w:rsidR="00CD2DC7">
        <w:t xml:space="preserve">. Internationale studier har vist, at der er en sammenhæng mellem </w:t>
      </w:r>
      <w:r w:rsidR="00E17264">
        <w:t>ernæ</w:t>
      </w:r>
      <w:r w:rsidR="00C93255">
        <w:t>ringsstatus og genindlæggelser</w:t>
      </w:r>
      <w:r w:rsidR="0057461F">
        <w:t xml:space="preserve"> </w:t>
      </w:r>
      <w:r w:rsidR="0057461F">
        <w:fldChar w:fldCharType="begin"/>
      </w:r>
      <w:r w:rsidR="00671F4C">
        <w:instrText xml:space="preserve"> ADDIN ZOTERO_ITEM CSL_CITATION {"citationID":"uMVMOQDe","properties":{"formattedCitation":"(3\\uc0\\u8211{}5)","plainCitation":"(3–5)","noteIndex":0},"citationItems":[{"id":339,"uris":["http://zotero.org/groups/2380342/items/PPRHQTNG"],"uri":["http://zotero.org/groups/2380342/items/PPRHQTNG"],"itemData":{"id":339,"type":"article-journal","title":"Malnutrition and its association with readmission and death within 7 days and 8–180 days postdischarge in older patients: a prospective observational study","container-title":"BMJ Open","page":"e018443","volume":"7","issue":"11","abstract":"Objective The relationship between admission nutritional status and clinical outcomes following hospital discharge is not well established. This study investigated whether older patients’ nutritional status at admission predicts unplanned readmission or death in the very early or late periods following hospital discharge.Design, setting and participants The study prospectively recruited 297 patients ≥60 years old who were presenting to the General Medicine Department of a tertiary care hospital in Australia. Nutritional status was assessed at admission by using the Patient-Generated Subjective Global Assessment (PG-SGA) tool, and patients were classified as either nourished (PG-SGA class A) or malnourished (PG-SGA classes B and C). A multivariate logistic regression model was used to adjust for other covariates known to influence clinical outcomes and to determine whether malnutrition is a predictor for early (0–7 days) or late (8–180 days) readmission or death following discharge.Outcome measures The impact of nutritional status was measured on a combined endpoint of any readmission or death within 0–7 days and between 8 and 180 days following hospital discharge.Results Within 7 days following discharge, 29 (10.5%) patients had an unplanned readmission or death whereas an additional 124 (50.0%) patients reached this combined endpoint within 8–180 days postdischarge. Malnutrition was associated with a significantly higher risk of combined endpoint of readmissions or death both within 7 days (OR 4.57, 95% CI 1.69 to 12.37, P&amp;lt;0.001) and within 8–180 days (OR 1.98, 95% CI 1.19 to 3.28, P=0.007) following discharge and this risk remained significant even after adjustment for other covariates.Conclusions Malnutrition in older patients at the time of hospital admission is a significant predictor of readmission or death both in the very early and in the late periods following hospital discharge. Nutritional state should be included in future risk prediction models.Trial registration number ACTRN No. 12614000833662; Post-results.","DOI":"10.1136/bmjopen-2017-018443","journalAbbreviation":"BMJ Open","author":[{"family":"Sharma","given":"Yogesh"},{"family":"Miller","given":"Michelle"},{"family":"Kaambwa","given":"Billingsley"},{"family":"Shahi","given":"Rashmi"},{"family":"Hakendorf","given":"Paul"},{"family":"Horwood","given":"Chris"},{"family":"Thompson","given":"Campbell"}],"issued":{"date-parts":[["2017",11,1]]}}},{"id":338,"uris":["http://zotero.org/groups/2380342/items/YTWJ5UQR"],"uri":["http://zotero.org/groups/2380342/items/YTWJ5UQR"],"itemData":{"id":338,"type":"article-journal","title":"Association of nutritional risk and adverse medical outcomes across different medical inpatient populations","container-title":"Nutrition","page":"1385 - 1393","volume":"31","issue":"11","abstract":"Objective The aim of this study was to examine the prevalence of nutritional risk and its association with multiple adverse clinical outcomes in a large cohort of acutely ill medical inpatients from a Swiss tertiary care hospital. Methods We prospectively followed consecutive adult medical inpatients for 30 d. Multivariate regression models were used to investigate the association of the initial Nutritional Risk Score (NRS 2002) with mortality, impairment in activities of daily living (Barthel Index &lt;95 points), hospital length of stay, hospital readmission rates, and quality of life (QoL; adapted from EQ5 D); all parameters were measured at 30 d. Results Of 3186 patients (mean age 71 y, 44.7% women), 887 (27.8%) were at risk for malnutrition with an NRS ≥3 points. We found strong associations (odds ratio/hazard ratio [OR/HR], 95% confidence interval [CI]) between nutritional risk and mortality (OR/HR, 7.82; 95% CI, 6.04–10.12), impaired Barthel Index (OR/HR, 2.56; 95% CI, 2.12–3.09), time to hospital discharge (OR/HR, 0.48; 95% CI, 0.43–0.52), hospital readmission (OR/HR, 1.46; 95% CI, 1.08–1.97), and all five dimensions of QoL measures. Associations remained significant after adjustment for sociodemographic characteristics, comorbidities, and medical diagnoses. Results were robust in subgroup analysis with evidence of effect modification (P for interaction &lt; 0.05) based on age and main diagnosis groups. Conclusion Nutritional risk is significant in acutely ill medical inpatients and is associated with increased medical resource use, adverse clinical outcomes, and impairments in functional ability and QoL. Randomized trials are needed to evaluate evidence-based preventive and treatment strategies focusing on nutritional factors to improve outcomes in these high-risk patients.","DOI":"https://doi.org/10.1016/j.nut.2015.06.007","ISSN":"0899-9007","author":[{"family":"Felder","given":"Susan"},{"family":"Lechtenboehmer","given":"Christian"},{"family":"Bally","given":"Martina"},{"family":"Fehr","given":"Rebecca"},{"family":"Deiss","given":"Manuela"},{"family":"Faessler","given":"Lukas"},{"family":"Kutz","given":"Alexander"},{"family":"Steiner","given":"Deborah"},{"family":"Rast","given":"Anna C."},{"family":"Laukemann","given":"Svenja"},{"family":"Kulkarni","given":"Prasad"},{"family":"Stanga","given":"Zeno"},{"family":"Haubitz","given":"Sebastian"},{"family":"Huber","given":"Andreas"},{"family":"Mueller","given":"Beat"},{"family":"Schuetz","given":"Philipp"}],"issued":{"date-parts":[["2015"]]}}},{"id":357,"uris":["http://zotero.org/groups/2380342/items/EP6QZB32"],"uri":["http://zotero.org/groups/2380342/items/EP6QZB32"],"itemData":{"id":357,"type":"article-journal","title":"Functional status before and during acute hospitalization and readmission risk identification","container-title":"Journal of Hospital Medicine","page":"636-641","volume":"11","issue":"9","source":"Wiley Online Library","abstract":"BACKGROUND Recent efforts to prevent readmissions are increasingly focusing on early identification of high-risk patients. OBJECTIVE To test whether information on functioning during hospitalization contributes to the ability to accurately identify older adults at high risk of readmission beyond their baseline risk. DESIGN Prospective cohort study. SETTING Internal medicine wards at 2 medical centers. PATIENTS Five hundred fifty-nine community-dwelling older adults (aged ≥70 years) discharged to their homes. MEASUREMENTS Data on unplanned 30-day readmissions were retrieved from electronic health records. Data on at-admission activities of daily living (ADL) and in-hospital ADL decline were collected using validated questionnaires. Multivariate logistic regression was used to model the association between functioning and readmission controlling for known risk factors. RESULTS Higher in-hospital ADL decline was significantly associated with readmission (odds ratio for each 10-point decrease in ADL = 1.32, 95% confidence interval = 1.02-1.72) but did not contribute to the overall discrimination of the model, as compared with the at-admission data (C statistic = 0.81 for each model). Identifying high-risk (10th highest percentile) patients by the at-admission model did not detect 7/55 (12.7%) of patients who would have been categorized as high risk if risk identification was postponed to the discharge date and included data on in-hospital ADL decline. CONCLUSIONS The study highlights the ability to identify patients at high risk for readmission already early in the index hospitalization using data on functioning, nutrition, chronic morbidity, and prior hospitalizations. Nonetheless, at-discharge functional assessment can detect additional patients whose readmission risk changes during the index hospitalization. Journal of Hospital Medicine 2016;11:636–641. © 2016 Society of Hospital Medicine","DOI":"10.1002/jhm.2595","ISSN":"1553-5606","language":"en","author":[{"family":"Tonkikh","given":"Orly"},{"family":"Shadmi","given":"Efrat"},{"family":"Flaks‐Manov","given":"Natalie"},{"family":"Hoshen","given":"Moshe"},{"family":"Balicer","given":"Ran D."},{"family":"Zisberg","given":"Anna"}],"issued":{"date-parts":[["2016"]]}}}],"schema":"https://github.com/citation-style-language/schema/raw/master/csl-citation.json"} </w:instrText>
      </w:r>
      <w:r w:rsidR="0057461F">
        <w:fldChar w:fldCharType="separate"/>
      </w:r>
      <w:r w:rsidR="00671F4C" w:rsidRPr="00671F4C">
        <w:rPr>
          <w:rFonts w:ascii="Calibri" w:hAnsi="Calibri" w:cs="Calibri"/>
          <w:szCs w:val="24"/>
        </w:rPr>
        <w:t>(3–5)</w:t>
      </w:r>
      <w:r w:rsidR="0057461F">
        <w:fldChar w:fldCharType="end"/>
      </w:r>
      <w:r w:rsidR="00F33ECF">
        <w:t>. Ligeledes er der</w:t>
      </w:r>
      <w:r w:rsidR="00E17264">
        <w:t xml:space="preserve"> fundet s</w:t>
      </w:r>
      <w:r w:rsidR="00F33ECF">
        <w:t>ammenhæng mellem funktionsevne og genindlæggelse</w:t>
      </w:r>
      <w:r w:rsidR="001C2234">
        <w:t>r</w:t>
      </w:r>
      <w:r w:rsidR="00F33ECF">
        <w:t>, men kun ganske få studier har undersøgt denne sammenhæng</w:t>
      </w:r>
      <w:r w:rsidR="0060275A">
        <w:t xml:space="preserve"> </w:t>
      </w:r>
      <w:r w:rsidR="0060275A">
        <w:fldChar w:fldCharType="begin"/>
      </w:r>
      <w:r w:rsidR="00671F4C">
        <w:instrText xml:space="preserve"> ADDIN ZOTERO_ITEM CSL_CITATION {"citationID":"obOXoOIZ","properties":{"formattedCitation":"(6)","plainCitation":"(6)","noteIndex":0},"citationItems":[{"id":362,"uris":["http://zotero.org/groups/2380342/items/UABC48RK"],"uri":["http://zotero.org/groups/2380342/items/UABC48RK"],"itemData":{"id":362,"type":"article-journal","title":"Risk prediction models for hospital readmission: a systematic review","container-title":"Jama","page":"1688–1698","volume":"306","issue":"15","source":"Google Scholar","title-short":"Risk prediction models for hospital readmission","author":[{"family":"Kansagara","given":"Devan"},{"family":"Englander","given":"Honora"},{"family":"Salanitro","given":"Amanda"},{"family":"Kagen","given":"David"},{"family":"Theobald","given":"Cecelia"},{"family":"Freeman","given":"Michele"},{"family":"Kripalani","given":"Sunil"}],"issued":{"date-parts":[["2011"]]}}}],"schema":"https://github.com/citation-style-language/schema/raw/master/csl-citation.json"} </w:instrText>
      </w:r>
      <w:r w:rsidR="0060275A">
        <w:fldChar w:fldCharType="separate"/>
      </w:r>
      <w:r w:rsidR="00671F4C" w:rsidRPr="00671F4C">
        <w:rPr>
          <w:rFonts w:ascii="Calibri" w:hAnsi="Calibri" w:cs="Calibri"/>
        </w:rPr>
        <w:t>(6)</w:t>
      </w:r>
      <w:r w:rsidR="0060275A">
        <w:fldChar w:fldCharType="end"/>
      </w:r>
      <w:r w:rsidR="00E17264">
        <w:t xml:space="preserve">. </w:t>
      </w:r>
      <w:r w:rsidR="001C2234">
        <w:t>D</w:t>
      </w:r>
      <w:r w:rsidR="0060275A">
        <w:t xml:space="preserve">er er kun få studier, </w:t>
      </w:r>
      <w:r w:rsidR="00370B3A">
        <w:t xml:space="preserve">der har identificeret </w:t>
      </w:r>
      <w:r w:rsidR="0060275A">
        <w:t xml:space="preserve">prædiktorer </w:t>
      </w:r>
      <w:r w:rsidR="00370B3A">
        <w:t xml:space="preserve">for genindlæggelse i en dansk kontekst </w:t>
      </w:r>
      <w:r w:rsidR="00370B3A">
        <w:fldChar w:fldCharType="begin"/>
      </w:r>
      <w:r w:rsidR="00671F4C">
        <w:instrText xml:space="preserve"> ADDIN ZOTERO_ITEM CSL_CITATION {"citationID":"Qv5qPwer","properties":{"formattedCitation":"(7,8)","plainCitation":"(7,8)","noteIndex":0},"citationItems":[{"id":322,"uris":["http://zotero.org/groups/2380342/items/RICMGXT8"],"uri":["http://zotero.org/groups/2380342/items/RICMGXT8"],"itemData":{"id":322,"type":"article-journal","title":"Risk Assessment of Acute, All-Cause 30-Day Readmission in Patients Aged 65+: A Nationwide, Register-Based Cohort Study","container-title":"Journal of general internal medicine","page":"226–234","volume":"34","issue":"2","source":"Google Scholar","title-short":"Risk Assessment of Acute, All-Cause 30-Day Readmission in Patients Aged 65+","author":[{"family":"Pedersen","given":"Mona K."},{"family":"Nielsen","given":"Gunnar L."},{"family":"Uhrenfeldt","given":"Lisbeth"},{"family":"Lundbye-Christensen","given":"Søren"}],"issued":{"date-parts":[["2019"]]}}},{"id":365,"uris":["http://zotero.org/groups/2380342/items/YAJCJJKD"],"uri":["http://zotero.org/groups/2380342/items/YAJCJJKD"],"itemData":{"id":365,"type":"article-journal","title":"Development of a prediction model for 30-day acute readmissions among older medical patients: the influence of social factors along with other patient-specific and organisational factors","container-title":"BMJ Open Quality","volume":"8","issue":"2","source":"bmjopenquality.bmj.com","abstract":"Background Readmission rate is one way to measure quality of care for older patients. Knowledge is sparse on how different social factors can contribute to predict readmission. We aimed to develop and internally validate a comprehensive model for prediction of acute 30-day readmission among older medical patients using various social factors along with demographic, organisational and health-related factors.\nMethods We performed an observational prospective study based on a group of 770 medical patients aged 65 years or older, who were consecutively screened for readmission risk factors at an acute care university hospital during the period from February to September 2012. Data on outcome and candidate predictors were obtained from clinical screening and administrative registers. We used multiple logistic regression analyses with backward selection of predictors. Measures of model performance and performed internal validation were calculated.\nResults Twenty percent of patients were readmitted within 30 days from index discharge. The final model showed that low educational level, along with male gender, contact with emergency doctor, specific diagnosis, higher Charlson Comorbidity Index score, longer hospital stay, cognitive problems, and medical treatment for thyroid disease, acid-related disorders, and glaucoma, predicted acute 30-day readmission. Area under the receiver operating characteristic curve (0.70) indicated acceptable discriminative ability of the model. Calibration slope was 0.98 and calibration intercept was 0.01. In internal validation analysis, both discrimination and calibration measures were stable.\nConclusions We developed a model for prediction of readmission among older medical patients. The model showed that social factors in the form of educational level along with demographic, organisational and health-related factors contributed to prediction of acute 30-day readmissions among older medical patients.","URL":"https://bmjopenquality.bmj.com/content/8/2/e000544","DOI":"10.1136/bmjoq-2018-000544","ISSN":"2399-6641","title-short":"Development of a prediction model for 30-day acute readmissions among older medical patients","journalAbbreviation":"BMJ Open Qual","language":"en","author":[{"family":"Lehn","given":"Sara Fokdal"},{"family":"Zwisler","given":"Ann-Dorthe"},{"family":"Pedersen","given":"Solvejg Gram Henneberg"},{"family":"Gjørup","given":"Thomas"},{"family":"Thygesen","given":"Lau Caspar"}],"issued":{"date-parts":[["2019",6,1]]},"accessed":{"date-parts":[["2019",11,22]]}}}],"schema":"https://github.com/citation-style-language/schema/raw/master/csl-citation.json"} </w:instrText>
      </w:r>
      <w:r w:rsidR="00370B3A">
        <w:fldChar w:fldCharType="separate"/>
      </w:r>
      <w:r w:rsidR="00671F4C" w:rsidRPr="00671F4C">
        <w:rPr>
          <w:rFonts w:ascii="Calibri" w:hAnsi="Calibri" w:cs="Calibri"/>
        </w:rPr>
        <w:t>(7,8)</w:t>
      </w:r>
      <w:r w:rsidR="00370B3A">
        <w:fldChar w:fldCharType="end"/>
      </w:r>
      <w:r w:rsidR="0060275A">
        <w:t xml:space="preserve"> og ingen af disse studier har undersøgt ernæringsstatus og funktionsevne som prædiktorer. </w:t>
      </w:r>
    </w:p>
    <w:p w:rsidR="002110C2" w:rsidRPr="00CB4BF8" w:rsidRDefault="002110C2">
      <w:r w:rsidRPr="002110C2">
        <w:rPr>
          <w:b/>
        </w:rPr>
        <w:t>Formål</w:t>
      </w:r>
      <w:r w:rsidR="00CB4BF8">
        <w:rPr>
          <w:b/>
        </w:rPr>
        <w:t xml:space="preserve">: </w:t>
      </w:r>
      <w:r w:rsidR="00CB4BF8" w:rsidRPr="00CB4BF8">
        <w:t>At undersøge sammenhængen mellem genindlæggelser, fu</w:t>
      </w:r>
      <w:r w:rsidR="00F33ECF">
        <w:t>nktionsevne</w:t>
      </w:r>
      <w:r w:rsidR="002D314C">
        <w:t xml:space="preserve">, ernæringsstatus </w:t>
      </w:r>
      <w:r w:rsidR="00CB4BF8" w:rsidRPr="00CB4BF8">
        <w:t>og ernæringsindsats blandt 65+-årige indlagt på Regionshospitalet Horsens i perioden 2012 – 2018</w:t>
      </w:r>
      <w:r w:rsidR="00CB4BF8">
        <w:t>.</w:t>
      </w:r>
    </w:p>
    <w:p w:rsidR="002110C2" w:rsidRPr="00E17264" w:rsidRDefault="002110C2">
      <w:r w:rsidRPr="002110C2">
        <w:rPr>
          <w:b/>
        </w:rPr>
        <w:t>Metode</w:t>
      </w:r>
      <w:r w:rsidR="00CB4BF8">
        <w:rPr>
          <w:b/>
        </w:rPr>
        <w:t>:</w:t>
      </w:r>
      <w:r w:rsidR="00E17264">
        <w:rPr>
          <w:b/>
        </w:rPr>
        <w:t xml:space="preserve"> </w:t>
      </w:r>
      <w:r w:rsidR="00817CB2">
        <w:t>Registerdata fra Regionsh</w:t>
      </w:r>
      <w:r w:rsidR="000729AD" w:rsidRPr="000729AD">
        <w:t xml:space="preserve">ospitalet Horsens vedrørende ernæringsstatus, </w:t>
      </w:r>
      <w:r w:rsidR="00377D00">
        <w:t xml:space="preserve">ernæringsindsatser, </w:t>
      </w:r>
      <w:r w:rsidR="00F33ECF">
        <w:t>funktionsevne</w:t>
      </w:r>
      <w:r w:rsidR="000729AD">
        <w:t xml:space="preserve"> og genindlæggelsers hyppighed og længde</w:t>
      </w:r>
      <w:r w:rsidR="000729AD" w:rsidRPr="000729AD">
        <w:t xml:space="preserve"> </w:t>
      </w:r>
      <w:r w:rsidR="00377D00">
        <w:t xml:space="preserve">samt data vedrørende kommunale ydelser </w:t>
      </w:r>
      <w:r w:rsidR="000729AD" w:rsidRPr="000729AD">
        <w:t>for patientgruppen 65+ i å</w:t>
      </w:r>
      <w:r w:rsidR="00377D00">
        <w:t>ren</w:t>
      </w:r>
      <w:r w:rsidR="000729AD" w:rsidRPr="000729AD">
        <w:t>e 2012-2018</w:t>
      </w:r>
      <w:r w:rsidR="00377D00">
        <w:t xml:space="preserve"> analyseres med henblik på at identificere prædiktorer for genindlæggelse</w:t>
      </w:r>
      <w:r w:rsidR="000729AD">
        <w:t>.</w:t>
      </w:r>
      <w:r w:rsidR="00EC4BD0">
        <w:t xml:space="preserve"> </w:t>
      </w:r>
    </w:p>
    <w:p w:rsidR="00B65208" w:rsidRDefault="002110C2">
      <w:r w:rsidRPr="002110C2">
        <w:rPr>
          <w:b/>
        </w:rPr>
        <w:t>Perspektivering</w:t>
      </w:r>
      <w:r w:rsidR="00CB4BF8">
        <w:rPr>
          <w:b/>
        </w:rPr>
        <w:t>:</w:t>
      </w:r>
      <w:r w:rsidR="00E17264">
        <w:rPr>
          <w:b/>
        </w:rPr>
        <w:t xml:space="preserve"> </w:t>
      </w:r>
      <w:r w:rsidR="003E4A69">
        <w:t>Studiets resultater kan anvendes til at identificere potentielle indsatsområder inden for ernæring og funktionsevne med henblik på forebyggelse af genindlæggelser blandt ældre.</w:t>
      </w:r>
      <w:r w:rsidR="004A7549">
        <w:t xml:space="preserve"> </w:t>
      </w:r>
    </w:p>
    <w:p w:rsidR="00377D00" w:rsidRPr="00377D00" w:rsidRDefault="00377D00"/>
    <w:sectPr w:rsidR="00377D00" w:rsidRPr="00377D00" w:rsidSect="00D443DD">
      <w:pgSz w:w="11906" w:h="16838"/>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3C" w:rsidRDefault="008E3F3C" w:rsidP="00CD2DC7">
      <w:pPr>
        <w:spacing w:after="0" w:line="240" w:lineRule="auto"/>
      </w:pPr>
      <w:r>
        <w:separator/>
      </w:r>
    </w:p>
  </w:endnote>
  <w:endnote w:type="continuationSeparator" w:id="0">
    <w:p w:rsidR="008E3F3C" w:rsidRDefault="008E3F3C" w:rsidP="00CD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3C" w:rsidRDefault="008E3F3C" w:rsidP="00CD2DC7">
      <w:pPr>
        <w:spacing w:after="0" w:line="240" w:lineRule="auto"/>
      </w:pPr>
      <w:r>
        <w:separator/>
      </w:r>
    </w:p>
  </w:footnote>
  <w:footnote w:type="continuationSeparator" w:id="0">
    <w:p w:rsidR="008E3F3C" w:rsidRDefault="008E3F3C" w:rsidP="00CD2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C2"/>
    <w:rsid w:val="00011104"/>
    <w:rsid w:val="00040C59"/>
    <w:rsid w:val="00056FD2"/>
    <w:rsid w:val="000729AD"/>
    <w:rsid w:val="000F54B0"/>
    <w:rsid w:val="00102300"/>
    <w:rsid w:val="00162110"/>
    <w:rsid w:val="00170AC0"/>
    <w:rsid w:val="00174932"/>
    <w:rsid w:val="001905B5"/>
    <w:rsid w:val="001C2234"/>
    <w:rsid w:val="002110C2"/>
    <w:rsid w:val="00240FA9"/>
    <w:rsid w:val="00251A3C"/>
    <w:rsid w:val="002C64E0"/>
    <w:rsid w:val="002D314C"/>
    <w:rsid w:val="00330868"/>
    <w:rsid w:val="00370B3A"/>
    <w:rsid w:val="00377D00"/>
    <w:rsid w:val="00394D97"/>
    <w:rsid w:val="003E4A69"/>
    <w:rsid w:val="003F6E92"/>
    <w:rsid w:val="003F7849"/>
    <w:rsid w:val="00402A69"/>
    <w:rsid w:val="00417902"/>
    <w:rsid w:val="0047644A"/>
    <w:rsid w:val="004A7549"/>
    <w:rsid w:val="004B1546"/>
    <w:rsid w:val="004B72D1"/>
    <w:rsid w:val="004C7F8A"/>
    <w:rsid w:val="004F0A7A"/>
    <w:rsid w:val="00500982"/>
    <w:rsid w:val="0052464D"/>
    <w:rsid w:val="0057461F"/>
    <w:rsid w:val="0060275A"/>
    <w:rsid w:val="00611161"/>
    <w:rsid w:val="00624248"/>
    <w:rsid w:val="00640489"/>
    <w:rsid w:val="00671F4C"/>
    <w:rsid w:val="00674485"/>
    <w:rsid w:val="006C645F"/>
    <w:rsid w:val="00707A10"/>
    <w:rsid w:val="007760E4"/>
    <w:rsid w:val="007970B6"/>
    <w:rsid w:val="00817CB2"/>
    <w:rsid w:val="00821F89"/>
    <w:rsid w:val="008E3F3C"/>
    <w:rsid w:val="00900157"/>
    <w:rsid w:val="00935CDE"/>
    <w:rsid w:val="00971F5B"/>
    <w:rsid w:val="009E62BF"/>
    <w:rsid w:val="00A40F68"/>
    <w:rsid w:val="00AB150E"/>
    <w:rsid w:val="00AE0F87"/>
    <w:rsid w:val="00AF25F8"/>
    <w:rsid w:val="00AF4819"/>
    <w:rsid w:val="00B65208"/>
    <w:rsid w:val="00BE1002"/>
    <w:rsid w:val="00BE5A8C"/>
    <w:rsid w:val="00C146F4"/>
    <w:rsid w:val="00C34E5F"/>
    <w:rsid w:val="00C93255"/>
    <w:rsid w:val="00C95E16"/>
    <w:rsid w:val="00CB4BF8"/>
    <w:rsid w:val="00CD2DC7"/>
    <w:rsid w:val="00CD6DC3"/>
    <w:rsid w:val="00CD73D3"/>
    <w:rsid w:val="00D01DA6"/>
    <w:rsid w:val="00D1022D"/>
    <w:rsid w:val="00D443DD"/>
    <w:rsid w:val="00D67564"/>
    <w:rsid w:val="00D975C9"/>
    <w:rsid w:val="00E02068"/>
    <w:rsid w:val="00E06843"/>
    <w:rsid w:val="00E17264"/>
    <w:rsid w:val="00E20143"/>
    <w:rsid w:val="00E376FE"/>
    <w:rsid w:val="00E45CEB"/>
    <w:rsid w:val="00E77170"/>
    <w:rsid w:val="00E87AF6"/>
    <w:rsid w:val="00EC4BD0"/>
    <w:rsid w:val="00EF270F"/>
    <w:rsid w:val="00F33ECF"/>
    <w:rsid w:val="00F66134"/>
    <w:rsid w:val="00FA4828"/>
    <w:rsid w:val="00FD099C"/>
    <w:rsid w:val="00FF7B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uiPriority w:val="99"/>
    <w:semiHidden/>
    <w:unhideWhenUsed/>
    <w:rsid w:val="00CD2DC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D2DC7"/>
    <w:rPr>
      <w:sz w:val="20"/>
      <w:szCs w:val="20"/>
    </w:rPr>
  </w:style>
  <w:style w:type="character" w:styleId="Slutnotehenvisning">
    <w:name w:val="endnote reference"/>
    <w:basedOn w:val="Standardskrifttypeiafsnit"/>
    <w:uiPriority w:val="99"/>
    <w:semiHidden/>
    <w:unhideWhenUsed/>
    <w:rsid w:val="00CD2DC7"/>
    <w:rPr>
      <w:vertAlign w:val="superscript"/>
    </w:rPr>
  </w:style>
  <w:style w:type="character" w:styleId="Hyperlink">
    <w:name w:val="Hyperlink"/>
    <w:basedOn w:val="Standardskrifttypeiafsnit"/>
    <w:uiPriority w:val="99"/>
    <w:unhideWhenUsed/>
    <w:rsid w:val="00CD2DC7"/>
    <w:rPr>
      <w:color w:val="0000FF"/>
      <w:u w:val="single"/>
    </w:rPr>
  </w:style>
  <w:style w:type="paragraph" w:styleId="Bibliografi">
    <w:name w:val="Bibliography"/>
    <w:basedOn w:val="Normal"/>
    <w:next w:val="Normal"/>
    <w:uiPriority w:val="37"/>
    <w:unhideWhenUsed/>
    <w:rsid w:val="0060275A"/>
    <w:pPr>
      <w:tabs>
        <w:tab w:val="left" w:pos="384"/>
      </w:tabs>
      <w:spacing w:after="240" w:line="240" w:lineRule="auto"/>
      <w:ind w:left="384" w:hanging="384"/>
    </w:pPr>
  </w:style>
  <w:style w:type="paragraph" w:styleId="Markeringsbobletekst">
    <w:name w:val="Balloon Text"/>
    <w:basedOn w:val="Normal"/>
    <w:link w:val="MarkeringsbobletekstTegn"/>
    <w:uiPriority w:val="99"/>
    <w:semiHidden/>
    <w:unhideWhenUsed/>
    <w:rsid w:val="00D443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4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uiPriority w:val="99"/>
    <w:semiHidden/>
    <w:unhideWhenUsed/>
    <w:rsid w:val="00CD2DC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D2DC7"/>
    <w:rPr>
      <w:sz w:val="20"/>
      <w:szCs w:val="20"/>
    </w:rPr>
  </w:style>
  <w:style w:type="character" w:styleId="Slutnotehenvisning">
    <w:name w:val="endnote reference"/>
    <w:basedOn w:val="Standardskrifttypeiafsnit"/>
    <w:uiPriority w:val="99"/>
    <w:semiHidden/>
    <w:unhideWhenUsed/>
    <w:rsid w:val="00CD2DC7"/>
    <w:rPr>
      <w:vertAlign w:val="superscript"/>
    </w:rPr>
  </w:style>
  <w:style w:type="character" w:styleId="Hyperlink">
    <w:name w:val="Hyperlink"/>
    <w:basedOn w:val="Standardskrifttypeiafsnit"/>
    <w:uiPriority w:val="99"/>
    <w:unhideWhenUsed/>
    <w:rsid w:val="00CD2DC7"/>
    <w:rPr>
      <w:color w:val="0000FF"/>
      <w:u w:val="single"/>
    </w:rPr>
  </w:style>
  <w:style w:type="paragraph" w:styleId="Bibliografi">
    <w:name w:val="Bibliography"/>
    <w:basedOn w:val="Normal"/>
    <w:next w:val="Normal"/>
    <w:uiPriority w:val="37"/>
    <w:unhideWhenUsed/>
    <w:rsid w:val="0060275A"/>
    <w:pPr>
      <w:tabs>
        <w:tab w:val="left" w:pos="384"/>
      </w:tabs>
      <w:spacing w:after="240" w:line="240" w:lineRule="auto"/>
      <w:ind w:left="384" w:hanging="384"/>
    </w:pPr>
  </w:style>
  <w:style w:type="paragraph" w:styleId="Markeringsbobletekst">
    <w:name w:val="Balloon Text"/>
    <w:basedOn w:val="Normal"/>
    <w:link w:val="MarkeringsbobletekstTegn"/>
    <w:uiPriority w:val="99"/>
    <w:semiHidden/>
    <w:unhideWhenUsed/>
    <w:rsid w:val="00D443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4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k reference" Version="1987"/>
</file>

<file path=customXml/itemProps1.xml><?xml version="1.0" encoding="utf-8"?>
<ds:datastoreItem xmlns:ds="http://schemas.openxmlformats.org/officeDocument/2006/customXml" ds:itemID="{4FABBAEF-A2D2-472C-9A47-EFDBF881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2327</Words>
  <Characters>14201</Characters>
  <Application>Microsoft Office Word</Application>
  <DocSecurity>4</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 Iversen (MKFI) | VIA</dc:creator>
  <cp:lastModifiedBy>Jacob Albæk Lund</cp:lastModifiedBy>
  <cp:revision>2</cp:revision>
  <dcterms:created xsi:type="dcterms:W3CDTF">2019-12-04T11:51:00Z</dcterms:created>
  <dcterms:modified xsi:type="dcterms:W3CDTF">2019-12-04T11:51:00Z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ZOTERO_PREF_1">
    <vt:lpwstr>&lt;data data-version="3" zotero-version="5.0.66"&gt;&lt;session id="18LoZz2Y"/&gt;&lt;style id="http://www.zotero.org/styles/vancouver" locale="da-DK" hasBibliography="1" bibliographyStyleHasBeenSet="1"/&gt;&lt;prefs&gt;&lt;pref name="fieldType" value="Field"/&gt;&lt;pref name="automati</vt:lpwstr>
  </property>
  <property fmtid="{D5CDD505-2E9C-101B-9397-08002B2CF9AE}" pid="4" name="ZOTERO_PREF_2">
    <vt:lpwstr>cJournalAbbreviations" value="true"/&gt;&lt;/prefs&gt;&lt;/data&gt;</vt:lpwstr>
  </property>
</Properties>
</file>